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7B" w:rsidRDefault="003C74A8" w:rsidP="003C74A8">
      <w:hyperlink r:id="rId4" w:history="1">
        <w:r w:rsidRPr="003C74A8">
          <w:rPr>
            <w:rStyle w:val="Lienhypertexte"/>
          </w:rPr>
          <w:t>L’émergence d’internet dans les outils d’Intelligence économique</w:t>
        </w:r>
      </w:hyperlink>
    </w:p>
    <w:p w:rsidR="003C74A8" w:rsidRDefault="003C74A8" w:rsidP="003C74A8">
      <w:r>
        <w:t>Par Christophe Deschamps et Nicolas Moinet</w:t>
      </w:r>
    </w:p>
    <w:p w:rsidR="003C74A8" w:rsidRDefault="003C74A8" w:rsidP="003C74A8">
      <w:pPr>
        <w:spacing w:after="0" w:line="240" w:lineRule="auto"/>
      </w:pPr>
      <w:r>
        <w:t>Le Temps des médias</w:t>
      </w:r>
    </w:p>
    <w:p w:rsidR="003C74A8" w:rsidRDefault="003C74A8" w:rsidP="003C74A8">
      <w:pPr>
        <w:spacing w:after="0" w:line="240" w:lineRule="auto"/>
      </w:pPr>
      <w:r>
        <w:t>2011/1 (n° 16)</w:t>
      </w:r>
    </w:p>
    <w:p w:rsidR="003C74A8" w:rsidRDefault="003C74A8" w:rsidP="003C74A8">
      <w:pPr>
        <w:spacing w:after="0" w:line="240" w:lineRule="auto"/>
      </w:pPr>
      <w:r w:rsidRPr="003C74A8">
        <w:t>DOI : 10.3917/tdm.016.0147</w:t>
      </w:r>
    </w:p>
    <w:p w:rsidR="003C74A8" w:rsidRDefault="003C74A8" w:rsidP="003C74A8">
      <w:pPr>
        <w:spacing w:after="0" w:line="240" w:lineRule="auto"/>
      </w:pPr>
    </w:p>
    <w:p w:rsidR="003C74A8" w:rsidRDefault="003C74A8" w:rsidP="003C74A8">
      <w:pPr>
        <w:spacing w:after="0" w:line="240" w:lineRule="auto"/>
      </w:pPr>
      <w:r>
        <w:t>Résumé :</w:t>
      </w:r>
    </w:p>
    <w:p w:rsidR="003C74A8" w:rsidRPr="003C74A8" w:rsidRDefault="003C74A8" w:rsidP="003C74A8">
      <w:pPr>
        <w:spacing w:after="0" w:line="240" w:lineRule="auto"/>
        <w:rPr>
          <w:i/>
        </w:rPr>
      </w:pPr>
      <w:r w:rsidRPr="003C74A8">
        <w:rPr>
          <w:i/>
        </w:rPr>
        <w:t>Sur fond d’avènement d’une société en réseau(x), la logique floue de l’intelligence économique est celle d’une complexité marquée par la convergence de quatre ruptures majeures: une rupture méthodologique, la globalisation, une rupture technologique, les ntic, une rupture quantitative, l’abondance et une rupture qualitative, l’économie de l’immatériel. Née quelques années avant le développement d’Internet, l’intelligence économique s’est néanmoins développée dans son sillage. Et à un point tel que l’émergence de l’internet dans les outils d’intelligence économique peut être replacée dans le cadre plus large d’une véritable révolution anthropologique. Car loin de proposer simplement des outils, l’internet va être le ciment de la convergence des ruptures, un méta-outil, terme utilisé en archéologie pour désigner l’instrument qui sert à en fabriquer d’autres.</w:t>
      </w:r>
    </w:p>
    <w:sectPr w:rsidR="003C74A8" w:rsidRPr="003C74A8" w:rsidSect="006613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3C74A8"/>
    <w:rsid w:val="0006064E"/>
    <w:rsid w:val="000B6885"/>
    <w:rsid w:val="003C74A8"/>
    <w:rsid w:val="006613A9"/>
    <w:rsid w:val="00AD6D2E"/>
    <w:rsid w:val="00F233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74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46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irn.info/resume.php?ID_ARTICLE=TDM_016_01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952</Characters>
  <Application>Microsoft Office Word</Application>
  <DocSecurity>0</DocSecurity>
  <Lines>7</Lines>
  <Paragraphs>2</Paragraphs>
  <ScaleCrop>false</ScaleCrop>
  <Company>Microsoft</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1</cp:revision>
  <dcterms:created xsi:type="dcterms:W3CDTF">2017-04-22T17:29:00Z</dcterms:created>
  <dcterms:modified xsi:type="dcterms:W3CDTF">2017-04-22T17:33:00Z</dcterms:modified>
</cp:coreProperties>
</file>